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6BEB" w14:textId="77777777" w:rsidR="003974CB" w:rsidRDefault="003974CB" w:rsidP="002B10B9">
      <w:pPr>
        <w:tabs>
          <w:tab w:val="left" w:pos="1788"/>
        </w:tabs>
        <w:jc w:val="center"/>
        <w:rPr>
          <w:b/>
          <w:bCs/>
          <w:sz w:val="24"/>
          <w:szCs w:val="24"/>
        </w:rPr>
      </w:pPr>
    </w:p>
    <w:p w14:paraId="0EB80932" w14:textId="77777777" w:rsidR="0094202F" w:rsidRDefault="0094202F" w:rsidP="00B8715E">
      <w:pPr>
        <w:tabs>
          <w:tab w:val="left" w:pos="1788"/>
        </w:tabs>
        <w:jc w:val="center"/>
        <w:rPr>
          <w:rFonts w:asciiTheme="majorHAnsi" w:hAnsiTheme="majorHAnsi" w:cstheme="majorHAnsi"/>
          <w:b/>
          <w:bCs/>
          <w:sz w:val="24"/>
          <w:szCs w:val="24"/>
          <w:lang w:val="en-US"/>
        </w:rPr>
      </w:pPr>
    </w:p>
    <w:p w14:paraId="5456F30A" w14:textId="6B0728D9" w:rsidR="00B8715E" w:rsidRPr="00C0762D" w:rsidRDefault="00B8715E" w:rsidP="00B8715E">
      <w:pPr>
        <w:tabs>
          <w:tab w:val="left" w:pos="1788"/>
        </w:tabs>
        <w:jc w:val="center"/>
        <w:rPr>
          <w:rFonts w:asciiTheme="majorHAnsi" w:hAnsiTheme="majorHAnsi" w:cstheme="majorHAnsi"/>
          <w:b/>
          <w:bCs/>
          <w:color w:val="833C0B" w:themeColor="accent2" w:themeShade="80"/>
          <w:sz w:val="24"/>
          <w:szCs w:val="24"/>
          <w:lang w:val="en-US"/>
        </w:rPr>
      </w:pPr>
      <w:r w:rsidRPr="00C0762D">
        <w:rPr>
          <w:rFonts w:asciiTheme="majorHAnsi" w:hAnsiTheme="majorHAnsi" w:cstheme="majorHAnsi"/>
          <w:b/>
          <w:bCs/>
          <w:sz w:val="24"/>
          <w:szCs w:val="24"/>
          <w:lang w:val="en-US"/>
        </w:rPr>
        <w:t>ANNEX No. 1 to "</w:t>
      </w:r>
      <w:r w:rsidRPr="00C0762D">
        <w:rPr>
          <w:rFonts w:asciiTheme="majorHAnsi" w:hAnsiTheme="majorHAnsi" w:cstheme="majorHAnsi"/>
          <w:b/>
          <w:bCs/>
          <w:color w:val="833C0B" w:themeColor="accent2" w:themeShade="80"/>
          <w:sz w:val="24"/>
          <w:szCs w:val="24"/>
          <w:lang w:val="en-US"/>
        </w:rPr>
        <w:t>RULES FOR PARTICIPATION IN THE ERASMUS + KA131 PROGRAMME AT THE MEDICAL UNIVERSITY OF LODZ IN THE ACADEMIC YEAR</w:t>
      </w:r>
      <w:r w:rsidRPr="00C0762D">
        <w:rPr>
          <w:rFonts w:asciiTheme="majorHAnsi" w:hAnsiTheme="majorHAnsi" w:cstheme="majorHAnsi"/>
          <w:b/>
          <w:bCs/>
          <w:color w:val="538135" w:themeColor="accent6" w:themeShade="BF"/>
          <w:sz w:val="24"/>
          <w:szCs w:val="24"/>
          <w:lang w:val="en-US"/>
        </w:rPr>
        <w:t xml:space="preserve"> 202</w:t>
      </w:r>
      <w:r w:rsidR="00604235">
        <w:rPr>
          <w:rFonts w:asciiTheme="majorHAnsi" w:hAnsiTheme="majorHAnsi" w:cstheme="majorHAnsi"/>
          <w:b/>
          <w:bCs/>
          <w:color w:val="538135" w:themeColor="accent6" w:themeShade="BF"/>
          <w:sz w:val="24"/>
          <w:szCs w:val="24"/>
          <w:lang w:val="en-US"/>
        </w:rPr>
        <w:t>5</w:t>
      </w:r>
      <w:r w:rsidRPr="00C0762D">
        <w:rPr>
          <w:rFonts w:asciiTheme="majorHAnsi" w:hAnsiTheme="majorHAnsi" w:cstheme="majorHAnsi"/>
          <w:b/>
          <w:bCs/>
          <w:color w:val="538135" w:themeColor="accent6" w:themeShade="BF"/>
          <w:sz w:val="24"/>
          <w:szCs w:val="24"/>
          <w:lang w:val="en-US"/>
        </w:rPr>
        <w:t>/202</w:t>
      </w:r>
      <w:r w:rsidR="00604235">
        <w:rPr>
          <w:rFonts w:asciiTheme="majorHAnsi" w:hAnsiTheme="majorHAnsi" w:cstheme="majorHAnsi"/>
          <w:b/>
          <w:bCs/>
          <w:color w:val="538135" w:themeColor="accent6" w:themeShade="BF"/>
          <w:sz w:val="24"/>
          <w:szCs w:val="24"/>
          <w:lang w:val="en-US"/>
        </w:rPr>
        <w:t>6</w:t>
      </w:r>
      <w:r w:rsidR="00C0762D" w:rsidRPr="00C0762D">
        <w:rPr>
          <w:rFonts w:asciiTheme="majorHAnsi" w:hAnsiTheme="majorHAnsi" w:cstheme="majorHAnsi"/>
          <w:b/>
          <w:bCs/>
          <w:sz w:val="24"/>
          <w:szCs w:val="24"/>
          <w:lang w:val="en-US"/>
        </w:rPr>
        <w:t>"</w:t>
      </w:r>
    </w:p>
    <w:p w14:paraId="4D9EFB7A" w14:textId="6E4953AC" w:rsidR="00B8715E" w:rsidRPr="00C0762D" w:rsidRDefault="00B8715E" w:rsidP="00B8715E">
      <w:pPr>
        <w:tabs>
          <w:tab w:val="left" w:pos="1788"/>
        </w:tabs>
        <w:jc w:val="center"/>
        <w:rPr>
          <w:rFonts w:asciiTheme="majorHAnsi" w:hAnsiTheme="majorHAnsi" w:cstheme="majorHAnsi"/>
          <w:b/>
          <w:bCs/>
          <w:sz w:val="24"/>
          <w:szCs w:val="24"/>
          <w:lang w:val="en-US"/>
        </w:rPr>
      </w:pPr>
    </w:p>
    <w:p w14:paraId="6213092F" w14:textId="77777777" w:rsidR="00604235" w:rsidRPr="00604235" w:rsidRDefault="00604235" w:rsidP="00604235">
      <w:pPr>
        <w:ind w:left="2124" w:firstLine="708"/>
        <w:rPr>
          <w:rFonts w:asciiTheme="majorHAnsi" w:hAnsiTheme="majorHAnsi" w:cstheme="majorHAnsi"/>
          <w:b/>
          <w:bCs/>
          <w:sz w:val="28"/>
          <w:szCs w:val="28"/>
          <w:lang w:val="en-US"/>
        </w:rPr>
      </w:pPr>
      <w:r w:rsidRPr="00604235">
        <w:rPr>
          <w:rFonts w:asciiTheme="majorHAnsi" w:hAnsiTheme="majorHAnsi" w:cstheme="majorHAnsi"/>
          <w:b/>
          <w:bCs/>
          <w:sz w:val="28"/>
          <w:szCs w:val="28"/>
          <w:lang w:val="en-US"/>
        </w:rPr>
        <w:t>Student mobility for studies</w:t>
      </w:r>
    </w:p>
    <w:p w14:paraId="67226311" w14:textId="77777777" w:rsidR="00B8715E" w:rsidRPr="00C0762D" w:rsidRDefault="00B8715E" w:rsidP="00B8715E">
      <w:pPr>
        <w:tabs>
          <w:tab w:val="left" w:pos="1788"/>
        </w:tabs>
        <w:jc w:val="center"/>
        <w:rPr>
          <w:rFonts w:asciiTheme="majorHAnsi" w:hAnsiTheme="majorHAnsi" w:cstheme="majorHAnsi"/>
          <w:b/>
          <w:bCs/>
          <w:sz w:val="24"/>
          <w:szCs w:val="24"/>
          <w:lang w:val="en-US"/>
        </w:rPr>
      </w:pPr>
    </w:p>
    <w:p w14:paraId="2717FDFD" w14:textId="2D84A48A" w:rsidR="00B8715E" w:rsidRPr="00C0762D" w:rsidRDefault="00B8715E" w:rsidP="00B8715E">
      <w:pPr>
        <w:jc w:val="center"/>
        <w:rPr>
          <w:rFonts w:asciiTheme="majorHAnsi" w:hAnsiTheme="majorHAnsi" w:cstheme="majorHAnsi"/>
          <w:b/>
          <w:bCs/>
          <w:color w:val="4472C4" w:themeColor="accent1"/>
          <w:sz w:val="24"/>
          <w:szCs w:val="24"/>
          <w:u w:val="single"/>
          <w:lang w:val="en-US"/>
        </w:rPr>
      </w:pPr>
    </w:p>
    <w:p w14:paraId="25271D17" w14:textId="77777777" w:rsidR="00B8715E" w:rsidRPr="00C0762D" w:rsidRDefault="00B8715E" w:rsidP="00B8715E">
      <w:pPr>
        <w:tabs>
          <w:tab w:val="left" w:pos="1788"/>
        </w:tabs>
        <w:jc w:val="center"/>
        <w:rPr>
          <w:rFonts w:asciiTheme="majorHAnsi" w:hAnsiTheme="majorHAnsi" w:cstheme="majorHAnsi"/>
          <w:lang w:val="en-US"/>
        </w:rPr>
      </w:pPr>
    </w:p>
    <w:p w14:paraId="28CE71BD" w14:textId="242D9DA8" w:rsidR="005B1420" w:rsidRPr="00C0762D" w:rsidRDefault="008B4106" w:rsidP="005B1420">
      <w:pPr>
        <w:jc w:val="both"/>
        <w:rPr>
          <w:rFonts w:asciiTheme="majorHAnsi" w:hAnsiTheme="majorHAnsi" w:cstheme="majorHAnsi"/>
          <w:b/>
          <w:lang w:val="en-US"/>
        </w:rPr>
      </w:pPr>
      <w:r w:rsidRPr="00C0762D">
        <w:rPr>
          <w:rFonts w:asciiTheme="majorHAnsi" w:hAnsiTheme="majorHAnsi" w:cstheme="majorHAnsi"/>
          <w:b/>
          <w:lang w:val="en-US"/>
        </w:rPr>
        <w:t xml:space="preserve">II. </w:t>
      </w:r>
      <w:r w:rsidRPr="00C0762D">
        <w:rPr>
          <w:rFonts w:asciiTheme="majorHAnsi" w:hAnsiTheme="majorHAnsi" w:cstheme="majorHAnsi"/>
          <w:b/>
          <w:bCs/>
          <w:lang w:val="en-US"/>
        </w:rPr>
        <w:t>Rules for financing of students for traineeship mobilities abroad under the Erasmus + Programme</w:t>
      </w:r>
      <w:r w:rsidR="005B1420" w:rsidRPr="00C0762D">
        <w:rPr>
          <w:rFonts w:asciiTheme="majorHAnsi" w:hAnsiTheme="majorHAnsi" w:cstheme="majorHAnsi"/>
          <w:b/>
          <w:bCs/>
          <w:lang w:val="en-US"/>
        </w:rPr>
        <w:t xml:space="preserve"> </w:t>
      </w:r>
    </w:p>
    <w:p w14:paraId="13B8859B" w14:textId="0B475222" w:rsidR="005F5578" w:rsidRPr="009B215D" w:rsidRDefault="002B1D6C" w:rsidP="007A7AA6">
      <w:pPr>
        <w:tabs>
          <w:tab w:val="left" w:pos="1788"/>
        </w:tabs>
        <w:rPr>
          <w:rFonts w:asciiTheme="majorHAnsi" w:hAnsiTheme="majorHAnsi" w:cstheme="majorHAnsi"/>
          <w:b/>
          <w:bCs/>
          <w:lang w:val="en-US"/>
        </w:rPr>
      </w:pPr>
      <w:r w:rsidRPr="009B215D">
        <w:rPr>
          <w:rFonts w:asciiTheme="majorHAnsi" w:hAnsiTheme="majorHAnsi" w:cstheme="majorHAnsi"/>
          <w:b/>
          <w:bCs/>
          <w:lang w:val="en-US"/>
        </w:rPr>
        <w:t>The point changes</w:t>
      </w:r>
      <w:r w:rsidR="005F5578" w:rsidRPr="009B215D">
        <w:rPr>
          <w:rFonts w:asciiTheme="majorHAnsi" w:hAnsiTheme="majorHAnsi" w:cstheme="majorHAnsi"/>
          <w:b/>
          <w:bCs/>
          <w:lang w:val="en-US"/>
        </w:rPr>
        <w:t>:</w:t>
      </w:r>
    </w:p>
    <w:p w14:paraId="34217C03" w14:textId="7D31F6BE" w:rsidR="00A95094" w:rsidRPr="009B215D" w:rsidRDefault="00A95094" w:rsidP="005F5578">
      <w:pPr>
        <w:tabs>
          <w:tab w:val="left" w:pos="1788"/>
        </w:tabs>
        <w:rPr>
          <w:rFonts w:asciiTheme="majorHAnsi" w:hAnsiTheme="majorHAnsi" w:cstheme="majorHAnsi"/>
          <w:lang w:val="en-US"/>
        </w:rPr>
      </w:pPr>
    </w:p>
    <w:p w14:paraId="4F313AC1" w14:textId="08565952" w:rsidR="009B215D" w:rsidRDefault="009B215D" w:rsidP="004F41F6">
      <w:pPr>
        <w:pStyle w:val="Akapitzlist"/>
        <w:numPr>
          <w:ilvl w:val="0"/>
          <w:numId w:val="3"/>
        </w:numPr>
        <w:tabs>
          <w:tab w:val="left" w:pos="1788"/>
        </w:tabs>
        <w:rPr>
          <w:rFonts w:asciiTheme="majorHAnsi" w:hAnsiTheme="majorHAnsi" w:cstheme="majorHAnsi"/>
          <w:lang w:val="en-US"/>
        </w:rPr>
      </w:pPr>
      <w:r w:rsidRPr="009B215D">
        <w:rPr>
          <w:rFonts w:asciiTheme="majorHAnsi" w:hAnsiTheme="majorHAnsi" w:cstheme="majorHAnsi"/>
          <w:lang w:val="en-US"/>
        </w:rPr>
        <w:t xml:space="preserve">Each participant who is covered by a financial agreement is entitled to financial support for the duration of physical mobility and may benefit from additional, individual support for travel days. </w:t>
      </w:r>
    </w:p>
    <w:p w14:paraId="5DBBCA8D" w14:textId="77777777" w:rsidR="004F41F6" w:rsidRPr="009B215D" w:rsidRDefault="004F41F6" w:rsidP="004F41F6">
      <w:pPr>
        <w:pStyle w:val="Akapitzlist"/>
        <w:tabs>
          <w:tab w:val="left" w:pos="1788"/>
        </w:tabs>
        <w:ind w:left="1080"/>
        <w:rPr>
          <w:rFonts w:asciiTheme="majorHAnsi" w:hAnsiTheme="majorHAnsi" w:cstheme="majorHAnsi"/>
          <w:lang w:val="en-US"/>
        </w:rPr>
      </w:pPr>
    </w:p>
    <w:p w14:paraId="767C4FAC" w14:textId="07647CF2" w:rsidR="009B215D" w:rsidRDefault="009B215D" w:rsidP="009B215D">
      <w:pPr>
        <w:pStyle w:val="Akapitzlist"/>
        <w:tabs>
          <w:tab w:val="left" w:pos="1788"/>
        </w:tabs>
        <w:rPr>
          <w:rFonts w:asciiTheme="majorHAnsi" w:hAnsiTheme="majorHAnsi" w:cstheme="majorHAnsi"/>
          <w:lang w:val="en-US"/>
        </w:rPr>
      </w:pPr>
      <w:r w:rsidRPr="009B215D">
        <w:rPr>
          <w:rFonts w:asciiTheme="majorHAnsi" w:hAnsiTheme="majorHAnsi" w:cstheme="majorHAnsi"/>
          <w:lang w:val="en-US"/>
        </w:rPr>
        <w:t xml:space="preserve">In the case of a standard journey, regardless of the kilometers covered, the participant may receive an additional flat-rate funding for a maximum of 2 days of travel if the journey takes place on days other than the start and end of the mobility period. </w:t>
      </w:r>
    </w:p>
    <w:p w14:paraId="351A05A3" w14:textId="77777777" w:rsidR="009B215D" w:rsidRPr="009B215D" w:rsidRDefault="009B215D" w:rsidP="009B215D">
      <w:pPr>
        <w:pStyle w:val="Akapitzlist"/>
        <w:tabs>
          <w:tab w:val="left" w:pos="1788"/>
        </w:tabs>
        <w:rPr>
          <w:rFonts w:asciiTheme="majorHAnsi" w:hAnsiTheme="majorHAnsi" w:cstheme="majorHAnsi"/>
          <w:lang w:val="en-US"/>
        </w:rPr>
      </w:pPr>
    </w:p>
    <w:p w14:paraId="1A0982FB" w14:textId="01FEB7AC" w:rsidR="009B215D" w:rsidRDefault="009B215D" w:rsidP="009B215D">
      <w:pPr>
        <w:pStyle w:val="Akapitzlist"/>
        <w:tabs>
          <w:tab w:val="left" w:pos="1788"/>
        </w:tabs>
        <w:rPr>
          <w:rFonts w:asciiTheme="majorHAnsi" w:hAnsiTheme="majorHAnsi" w:cstheme="majorHAnsi"/>
          <w:lang w:val="en-US"/>
        </w:rPr>
      </w:pPr>
      <w:r w:rsidRPr="009B215D">
        <w:rPr>
          <w:rFonts w:asciiTheme="majorHAnsi" w:hAnsiTheme="majorHAnsi" w:cstheme="majorHAnsi"/>
          <w:lang w:val="en-US"/>
        </w:rPr>
        <w:t xml:space="preserve">However, in the case of travel under "Green Travel" (low-emission means of transport), an additional flat-rate funding is available for a maximum of 4 days of travel if the journey takes place on days other than the start and end of the mobility period, depending on the documented number of travel days and in accordance with the following ranges: </w:t>
      </w:r>
    </w:p>
    <w:p w14:paraId="23D900E0" w14:textId="77777777" w:rsidR="009B215D" w:rsidRPr="009B215D" w:rsidRDefault="009B215D" w:rsidP="009B215D">
      <w:pPr>
        <w:pStyle w:val="Akapitzlist"/>
        <w:tabs>
          <w:tab w:val="left" w:pos="1788"/>
        </w:tabs>
        <w:rPr>
          <w:rFonts w:asciiTheme="majorHAnsi" w:hAnsiTheme="majorHAnsi" w:cstheme="majorHAnsi"/>
          <w:lang w:val="en-US"/>
        </w:rPr>
      </w:pPr>
    </w:p>
    <w:p w14:paraId="79F296A5" w14:textId="77777777" w:rsidR="009B215D" w:rsidRPr="009B215D" w:rsidRDefault="009B215D" w:rsidP="009B215D">
      <w:pPr>
        <w:pStyle w:val="Akapitzlist"/>
        <w:tabs>
          <w:tab w:val="left" w:pos="1788"/>
        </w:tabs>
        <w:rPr>
          <w:rFonts w:asciiTheme="majorHAnsi" w:hAnsiTheme="majorHAnsi" w:cstheme="majorHAnsi"/>
          <w:lang w:val="en-US"/>
        </w:rPr>
      </w:pPr>
      <w:r w:rsidRPr="009B215D">
        <w:rPr>
          <w:rFonts w:asciiTheme="majorHAnsi" w:hAnsiTheme="majorHAnsi" w:cstheme="majorHAnsi"/>
          <w:lang w:val="en-US"/>
        </w:rPr>
        <w:t xml:space="preserve">- up to 2000 km - maximum 2 days of travel </w:t>
      </w:r>
    </w:p>
    <w:p w14:paraId="6A8A325F" w14:textId="77777777" w:rsidR="009B215D" w:rsidRPr="009B215D" w:rsidRDefault="009B215D" w:rsidP="009B215D">
      <w:pPr>
        <w:pStyle w:val="Akapitzlist"/>
        <w:tabs>
          <w:tab w:val="left" w:pos="1788"/>
        </w:tabs>
        <w:rPr>
          <w:rFonts w:asciiTheme="majorHAnsi" w:hAnsiTheme="majorHAnsi" w:cstheme="majorHAnsi"/>
          <w:lang w:val="en-US"/>
        </w:rPr>
      </w:pPr>
      <w:r w:rsidRPr="009B215D">
        <w:rPr>
          <w:rFonts w:asciiTheme="majorHAnsi" w:hAnsiTheme="majorHAnsi" w:cstheme="majorHAnsi"/>
          <w:lang w:val="en-US"/>
        </w:rPr>
        <w:t xml:space="preserve">- over 2000 km - maximum 4 days of travel </w:t>
      </w:r>
    </w:p>
    <w:p w14:paraId="52BB5F38" w14:textId="77777777" w:rsidR="009B215D" w:rsidRPr="009B215D" w:rsidRDefault="009B215D" w:rsidP="009B215D">
      <w:pPr>
        <w:pStyle w:val="Akapitzlist"/>
        <w:tabs>
          <w:tab w:val="left" w:pos="1788"/>
        </w:tabs>
        <w:rPr>
          <w:rFonts w:asciiTheme="majorHAnsi" w:hAnsiTheme="majorHAnsi" w:cstheme="majorHAnsi"/>
          <w:lang w:val="en-US"/>
        </w:rPr>
      </w:pPr>
    </w:p>
    <w:p w14:paraId="2B704D75" w14:textId="680CC01B" w:rsidR="008B6C10" w:rsidRPr="00A47943" w:rsidRDefault="009B215D" w:rsidP="00A47943">
      <w:pPr>
        <w:pStyle w:val="Akapitzlist"/>
        <w:tabs>
          <w:tab w:val="left" w:pos="1788"/>
        </w:tabs>
        <w:rPr>
          <w:rFonts w:asciiTheme="majorHAnsi" w:hAnsiTheme="majorHAnsi" w:cstheme="majorHAnsi"/>
          <w:lang w:val="en-US"/>
        </w:rPr>
      </w:pPr>
      <w:r w:rsidRPr="009B215D">
        <w:rPr>
          <w:rFonts w:asciiTheme="majorHAnsi" w:hAnsiTheme="majorHAnsi" w:cstheme="majorHAnsi"/>
          <w:lang w:val="en-US"/>
        </w:rPr>
        <w:t>Kilometers are calculated using the distance calculator available in the Erasmus Programme</w:t>
      </w:r>
    </w:p>
    <w:p w14:paraId="37E66318" w14:textId="3CB10B21" w:rsidR="008B4106" w:rsidRPr="00C0762D" w:rsidRDefault="008B6C10" w:rsidP="008B4106">
      <w:pPr>
        <w:spacing w:after="0"/>
        <w:ind w:left="7080" w:firstLine="708"/>
        <w:jc w:val="both"/>
        <w:rPr>
          <w:rFonts w:asciiTheme="majorHAnsi" w:hAnsiTheme="majorHAnsi" w:cstheme="majorHAnsi"/>
          <w:lang w:val="en-US"/>
        </w:rPr>
      </w:pPr>
      <w:r w:rsidRPr="00C0762D">
        <w:rPr>
          <w:rFonts w:asciiTheme="majorHAnsi" w:hAnsiTheme="majorHAnsi" w:cstheme="majorHAnsi"/>
          <w:lang w:val="en-US"/>
        </w:rPr>
        <w:tab/>
      </w:r>
      <w:r w:rsidRPr="00C0762D">
        <w:rPr>
          <w:rFonts w:asciiTheme="majorHAnsi" w:hAnsiTheme="majorHAnsi" w:cstheme="majorHAnsi"/>
          <w:lang w:val="en-US"/>
        </w:rPr>
        <w:tab/>
      </w:r>
      <w:r w:rsidR="003E7A26" w:rsidRPr="00C0762D">
        <w:rPr>
          <w:rFonts w:asciiTheme="majorHAnsi" w:hAnsiTheme="majorHAnsi" w:cstheme="majorHAnsi"/>
          <w:lang w:val="en-US"/>
        </w:rPr>
        <w:tab/>
      </w:r>
      <w:r w:rsidR="003E7A26" w:rsidRPr="00C0762D">
        <w:rPr>
          <w:rFonts w:asciiTheme="majorHAnsi" w:hAnsiTheme="majorHAnsi" w:cstheme="majorHAnsi"/>
          <w:lang w:val="en-US"/>
        </w:rPr>
        <w:tab/>
      </w:r>
      <w:r w:rsidR="003E7A26" w:rsidRPr="00C0762D">
        <w:rPr>
          <w:rFonts w:asciiTheme="majorHAnsi" w:hAnsiTheme="majorHAnsi" w:cstheme="majorHAnsi"/>
          <w:lang w:val="en-US"/>
        </w:rPr>
        <w:tab/>
      </w:r>
      <w:r w:rsidR="003E7A26" w:rsidRPr="00C0762D">
        <w:rPr>
          <w:rFonts w:asciiTheme="majorHAnsi" w:hAnsiTheme="majorHAnsi" w:cstheme="majorHAnsi"/>
          <w:lang w:val="en-US"/>
        </w:rPr>
        <w:tab/>
      </w:r>
      <w:r w:rsidR="008B4106" w:rsidRPr="00C0762D">
        <w:rPr>
          <w:rFonts w:asciiTheme="majorHAnsi" w:hAnsiTheme="majorHAnsi" w:cstheme="majorHAnsi"/>
          <w:lang w:val="en-US"/>
        </w:rPr>
        <w:t>Accepted by:</w:t>
      </w:r>
    </w:p>
    <w:p w14:paraId="1C746A3C" w14:textId="77777777" w:rsidR="008B4106" w:rsidRPr="00C0762D" w:rsidRDefault="008B4106" w:rsidP="008B4106">
      <w:pPr>
        <w:spacing w:after="0"/>
        <w:rPr>
          <w:rFonts w:asciiTheme="majorHAnsi" w:hAnsiTheme="majorHAnsi" w:cstheme="majorHAnsi"/>
          <w:lang w:val="en-US"/>
        </w:rPr>
      </w:pPr>
    </w:p>
    <w:p w14:paraId="391C4375" w14:textId="77777777" w:rsidR="008B4106" w:rsidRPr="00C0762D" w:rsidRDefault="008B4106" w:rsidP="008B4106">
      <w:pPr>
        <w:spacing w:after="0"/>
        <w:jc w:val="right"/>
        <w:rPr>
          <w:rFonts w:asciiTheme="majorHAnsi" w:hAnsiTheme="majorHAnsi" w:cstheme="majorHAnsi"/>
          <w:lang w:val="en-US"/>
        </w:rPr>
      </w:pPr>
    </w:p>
    <w:p w14:paraId="0C54BA2C" w14:textId="77777777" w:rsidR="008B4106" w:rsidRPr="00C0762D" w:rsidRDefault="008B4106" w:rsidP="008B4106">
      <w:pPr>
        <w:spacing w:after="0"/>
        <w:jc w:val="right"/>
        <w:rPr>
          <w:rFonts w:asciiTheme="majorHAnsi" w:hAnsiTheme="majorHAnsi" w:cstheme="majorHAnsi"/>
          <w:lang w:val="en-US"/>
        </w:rPr>
      </w:pPr>
    </w:p>
    <w:p w14:paraId="2976D538" w14:textId="77777777" w:rsidR="008B4106" w:rsidRPr="00C0762D" w:rsidRDefault="008B4106" w:rsidP="008B4106">
      <w:pPr>
        <w:spacing w:after="0"/>
        <w:jc w:val="right"/>
        <w:rPr>
          <w:rFonts w:asciiTheme="majorHAnsi" w:hAnsiTheme="majorHAnsi" w:cstheme="majorHAnsi"/>
          <w:lang w:val="en-US"/>
        </w:rPr>
      </w:pPr>
      <w:r w:rsidRPr="00C0762D">
        <w:rPr>
          <w:rFonts w:asciiTheme="majorHAnsi" w:hAnsiTheme="majorHAnsi" w:cstheme="majorHAnsi"/>
          <w:lang w:val="en-US"/>
        </w:rPr>
        <w:t>Rector’s Proxy for International Exchange</w:t>
      </w:r>
    </w:p>
    <w:p w14:paraId="4EDE97C4" w14:textId="77777777" w:rsidR="008B4106" w:rsidRPr="00C0762D" w:rsidRDefault="008B4106" w:rsidP="008B4106">
      <w:pPr>
        <w:spacing w:after="0"/>
        <w:jc w:val="right"/>
        <w:rPr>
          <w:rFonts w:asciiTheme="majorHAnsi" w:hAnsiTheme="majorHAnsi" w:cstheme="majorHAnsi"/>
        </w:rPr>
      </w:pPr>
      <w:r w:rsidRPr="00C0762D">
        <w:rPr>
          <w:rFonts w:asciiTheme="majorHAnsi" w:hAnsiTheme="majorHAnsi" w:cstheme="majorHAnsi"/>
        </w:rPr>
        <w:t>Prof. Jacek Rożniecki, MD, PhD</w:t>
      </w:r>
    </w:p>
    <w:p w14:paraId="7D12EAF7" w14:textId="692C0746" w:rsidR="00F13B12" w:rsidRPr="00604235" w:rsidRDefault="00604235" w:rsidP="00604235">
      <w:pPr>
        <w:pStyle w:val="Akapitzlist"/>
        <w:tabs>
          <w:tab w:val="left" w:pos="1788"/>
        </w:tabs>
        <w:rPr>
          <w:rFonts w:asciiTheme="majorHAnsi" w:hAnsiTheme="majorHAnsi" w:cstheme="majorHAnsi"/>
        </w:rPr>
      </w:pPr>
      <w:r w:rsidRPr="00C0762D">
        <w:rPr>
          <w:rFonts w:asciiTheme="majorHAnsi" w:hAnsiTheme="majorHAnsi" w:cstheme="majorHAnsi"/>
        </w:rPr>
        <w:t xml:space="preserve">Łódź </w:t>
      </w:r>
      <w:r>
        <w:rPr>
          <w:rFonts w:asciiTheme="majorHAnsi" w:hAnsiTheme="majorHAnsi" w:cstheme="majorHAnsi"/>
        </w:rPr>
        <w:t>09</w:t>
      </w:r>
      <w:r w:rsidRPr="00C0762D">
        <w:rPr>
          <w:rFonts w:asciiTheme="majorHAnsi" w:hAnsiTheme="majorHAnsi" w:cstheme="majorHAnsi"/>
        </w:rPr>
        <w:t>/</w:t>
      </w:r>
      <w:r>
        <w:rPr>
          <w:rFonts w:asciiTheme="majorHAnsi" w:hAnsiTheme="majorHAnsi" w:cstheme="majorHAnsi"/>
        </w:rPr>
        <w:t>05</w:t>
      </w:r>
      <w:r w:rsidRPr="00C0762D">
        <w:rPr>
          <w:rFonts w:asciiTheme="majorHAnsi" w:hAnsiTheme="majorHAnsi" w:cstheme="majorHAnsi"/>
        </w:rPr>
        <w:t>/202</w:t>
      </w:r>
      <w:r>
        <w:rPr>
          <w:rFonts w:asciiTheme="majorHAnsi" w:hAnsiTheme="majorHAnsi" w:cstheme="majorHAnsi"/>
        </w:rPr>
        <w:t>5</w:t>
      </w:r>
    </w:p>
    <w:p w14:paraId="1800D680" w14:textId="40DDE20C" w:rsidR="00F13B12" w:rsidRPr="00C0762D" w:rsidRDefault="00F13B12" w:rsidP="00F13B12">
      <w:pPr>
        <w:pStyle w:val="Akapitzlist"/>
        <w:tabs>
          <w:tab w:val="left" w:pos="1788"/>
        </w:tabs>
        <w:rPr>
          <w:rFonts w:asciiTheme="majorHAnsi" w:hAnsiTheme="majorHAnsi" w:cstheme="majorHAnsi"/>
        </w:rPr>
      </w:pPr>
    </w:p>
    <w:p w14:paraId="098BCF32" w14:textId="08B8730B" w:rsidR="00A95094" w:rsidRPr="00C0762D" w:rsidRDefault="00A95094" w:rsidP="00A95094">
      <w:pPr>
        <w:pStyle w:val="Akapitzlist"/>
        <w:tabs>
          <w:tab w:val="left" w:pos="1788"/>
        </w:tabs>
        <w:rPr>
          <w:rFonts w:asciiTheme="majorHAnsi" w:hAnsiTheme="majorHAnsi" w:cstheme="majorHAnsi"/>
        </w:rPr>
      </w:pPr>
    </w:p>
    <w:sectPr w:rsidR="00A95094" w:rsidRPr="00C076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0DC8" w14:textId="77777777" w:rsidR="005747DD" w:rsidRDefault="005747DD" w:rsidP="007A7AA6">
      <w:pPr>
        <w:spacing w:after="0" w:line="240" w:lineRule="auto"/>
      </w:pPr>
      <w:r>
        <w:separator/>
      </w:r>
    </w:p>
  </w:endnote>
  <w:endnote w:type="continuationSeparator" w:id="0">
    <w:p w14:paraId="1CF239A9" w14:textId="77777777" w:rsidR="005747DD" w:rsidRDefault="005747DD" w:rsidP="007A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4594" w14:textId="77777777" w:rsidR="005747DD" w:rsidRDefault="005747DD" w:rsidP="007A7AA6">
      <w:pPr>
        <w:spacing w:after="0" w:line="240" w:lineRule="auto"/>
      </w:pPr>
      <w:r>
        <w:separator/>
      </w:r>
    </w:p>
  </w:footnote>
  <w:footnote w:type="continuationSeparator" w:id="0">
    <w:p w14:paraId="469518EE" w14:textId="77777777" w:rsidR="005747DD" w:rsidRDefault="005747DD" w:rsidP="007A7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1563" w14:textId="3A07B52E" w:rsidR="007A7AA6" w:rsidRDefault="00847DEC">
    <w:pPr>
      <w:pStyle w:val="Nagwek"/>
    </w:pPr>
    <w:r>
      <w:rPr>
        <w:noProof/>
      </w:rPr>
      <w:drawing>
        <wp:anchor distT="0" distB="0" distL="114300" distR="114300" simplePos="0" relativeHeight="251663360" behindDoc="1" locked="0" layoutInCell="1" allowOverlap="1" wp14:anchorId="27F31A67" wp14:editId="4525EE31">
          <wp:simplePos x="0" y="0"/>
          <wp:positionH relativeFrom="margin">
            <wp:align>right</wp:align>
          </wp:positionH>
          <wp:positionV relativeFrom="paragraph">
            <wp:posOffset>-114300</wp:posOffset>
          </wp:positionV>
          <wp:extent cx="1669415" cy="459105"/>
          <wp:effectExtent l="0" t="0" r="6985" b="0"/>
          <wp:wrapTight wrapText="bothSides">
            <wp:wrapPolygon edited="0">
              <wp:start x="0" y="0"/>
              <wp:lineTo x="0" y="20614"/>
              <wp:lineTo x="21444" y="20614"/>
              <wp:lineTo x="21444" y="0"/>
              <wp:lineTo x="0" y="0"/>
            </wp:wrapPolygon>
          </wp:wrapTight>
          <wp:docPr id="1" name="Obraz 1" descr="Mini logo 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ini logo 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59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0543C76" wp14:editId="18BB0941">
          <wp:simplePos x="0" y="0"/>
          <wp:positionH relativeFrom="margin">
            <wp:align>left</wp:align>
          </wp:positionH>
          <wp:positionV relativeFrom="paragraph">
            <wp:posOffset>-121920</wp:posOffset>
          </wp:positionV>
          <wp:extent cx="1990725" cy="417195"/>
          <wp:effectExtent l="0" t="0" r="9525" b="1905"/>
          <wp:wrapTight wrapText="bothSides">
            <wp:wrapPolygon edited="0">
              <wp:start x="0" y="0"/>
              <wp:lineTo x="0" y="20712"/>
              <wp:lineTo x="21497" y="20712"/>
              <wp:lineTo x="21497" y="0"/>
              <wp:lineTo x="0" y="0"/>
            </wp:wrapPolygon>
          </wp:wrapTight>
          <wp:docPr id="2" name="Obraz 4" descr="Funded by the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Funded by the 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417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7D75"/>
    <w:multiLevelType w:val="hybridMultilevel"/>
    <w:tmpl w:val="E382B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D3426C"/>
    <w:multiLevelType w:val="hybridMultilevel"/>
    <w:tmpl w:val="7F1CDDEA"/>
    <w:lvl w:ilvl="0" w:tplc="A072CC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73AC5987"/>
    <w:multiLevelType w:val="hybridMultilevel"/>
    <w:tmpl w:val="4A9CB762"/>
    <w:lvl w:ilvl="0" w:tplc="39A874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A6"/>
    <w:rsid w:val="00077CD9"/>
    <w:rsid w:val="00095394"/>
    <w:rsid w:val="00097FD6"/>
    <w:rsid w:val="000A616A"/>
    <w:rsid w:val="0016778F"/>
    <w:rsid w:val="00176A31"/>
    <w:rsid w:val="001D2C3D"/>
    <w:rsid w:val="001F3BEB"/>
    <w:rsid w:val="0025505C"/>
    <w:rsid w:val="00276B1C"/>
    <w:rsid w:val="002B10B9"/>
    <w:rsid w:val="002B1D6C"/>
    <w:rsid w:val="003974CB"/>
    <w:rsid w:val="003E7A26"/>
    <w:rsid w:val="003F0D2C"/>
    <w:rsid w:val="00404FA1"/>
    <w:rsid w:val="00421C20"/>
    <w:rsid w:val="00434174"/>
    <w:rsid w:val="004E13E6"/>
    <w:rsid w:val="004F41F6"/>
    <w:rsid w:val="005747DD"/>
    <w:rsid w:val="005B1420"/>
    <w:rsid w:val="005F5578"/>
    <w:rsid w:val="00604235"/>
    <w:rsid w:val="00663F68"/>
    <w:rsid w:val="006D733C"/>
    <w:rsid w:val="007A7AA6"/>
    <w:rsid w:val="007C6AB7"/>
    <w:rsid w:val="007F3076"/>
    <w:rsid w:val="00847DEC"/>
    <w:rsid w:val="008A1FEA"/>
    <w:rsid w:val="008A4938"/>
    <w:rsid w:val="008B4106"/>
    <w:rsid w:val="008B6C10"/>
    <w:rsid w:val="009038BA"/>
    <w:rsid w:val="0094202F"/>
    <w:rsid w:val="009B215D"/>
    <w:rsid w:val="00A21F1F"/>
    <w:rsid w:val="00A45A65"/>
    <w:rsid w:val="00A47943"/>
    <w:rsid w:val="00A95094"/>
    <w:rsid w:val="00B8715E"/>
    <w:rsid w:val="00B90781"/>
    <w:rsid w:val="00BD5250"/>
    <w:rsid w:val="00C0762D"/>
    <w:rsid w:val="00C60829"/>
    <w:rsid w:val="00EC1578"/>
    <w:rsid w:val="00F13B12"/>
    <w:rsid w:val="00F1796F"/>
    <w:rsid w:val="00FA6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1D77"/>
  <w15:chartTrackingRefBased/>
  <w15:docId w15:val="{250A3898-B184-4F77-9652-41255F00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7A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AA6"/>
  </w:style>
  <w:style w:type="paragraph" w:styleId="Stopka">
    <w:name w:val="footer"/>
    <w:basedOn w:val="Normalny"/>
    <w:link w:val="StopkaZnak"/>
    <w:uiPriority w:val="99"/>
    <w:unhideWhenUsed/>
    <w:rsid w:val="007A7A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AA6"/>
  </w:style>
  <w:style w:type="paragraph" w:styleId="Akapitzlist">
    <w:name w:val="List Paragraph"/>
    <w:basedOn w:val="Normalny"/>
    <w:uiPriority w:val="34"/>
    <w:qFormat/>
    <w:rsid w:val="00A95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84696">
      <w:bodyDiv w:val="1"/>
      <w:marLeft w:val="0"/>
      <w:marRight w:val="0"/>
      <w:marTop w:val="0"/>
      <w:marBottom w:val="0"/>
      <w:divBdr>
        <w:top w:val="none" w:sz="0" w:space="0" w:color="auto"/>
        <w:left w:val="none" w:sz="0" w:space="0" w:color="auto"/>
        <w:bottom w:val="none" w:sz="0" w:space="0" w:color="auto"/>
        <w:right w:val="none" w:sz="0" w:space="0" w:color="auto"/>
      </w:divBdr>
      <w:divsChild>
        <w:div w:id="1984701777">
          <w:marLeft w:val="0"/>
          <w:marRight w:val="0"/>
          <w:marTop w:val="0"/>
          <w:marBottom w:val="0"/>
          <w:divBdr>
            <w:top w:val="none" w:sz="0" w:space="0" w:color="auto"/>
            <w:left w:val="none" w:sz="0" w:space="0" w:color="auto"/>
            <w:bottom w:val="none" w:sz="0" w:space="0" w:color="auto"/>
            <w:right w:val="none" w:sz="0" w:space="0" w:color="auto"/>
          </w:divBdr>
        </w:div>
      </w:divsChild>
    </w:div>
    <w:div w:id="18093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199</Words>
  <Characters>1195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Dybilas</dc:creator>
  <cp:keywords/>
  <dc:description/>
  <cp:lastModifiedBy>Agnieszka Dybilas</cp:lastModifiedBy>
  <cp:revision>2</cp:revision>
  <cp:lastPrinted>2025-04-24T09:35:00Z</cp:lastPrinted>
  <dcterms:created xsi:type="dcterms:W3CDTF">2025-08-05T11:42:00Z</dcterms:created>
  <dcterms:modified xsi:type="dcterms:W3CDTF">2025-08-05T11:42:00Z</dcterms:modified>
</cp:coreProperties>
</file>